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1E6EED" w:rsidTr="001E6EED">
        <w:trPr>
          <w:tblCellSpacing w:w="0" w:type="dxa"/>
          <w:jc w:val="center"/>
        </w:trPr>
        <w:tc>
          <w:tcPr>
            <w:tcW w:w="0" w:type="auto"/>
            <w:tcMar>
              <w:top w:w="450" w:type="dxa"/>
              <w:left w:w="0" w:type="dxa"/>
              <w:bottom w:w="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1E6EED">
              <w:trPr>
                <w:tblCellSpacing w:w="0" w:type="dxa"/>
                <w:jc w:val="center"/>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9600"/>
                  </w:tblGrid>
                  <w:tr w:rsidR="001E6EED">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1E6EED">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1E6EED">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9600"/>
                                    </w:tblGrid>
                                    <w:tr w:rsidR="001E6EED">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9600"/>
                                          </w:tblGrid>
                                          <w:tr w:rsidR="001E6EED">
                                            <w:trPr>
                                              <w:tblCellSpacing w:w="0" w:type="dxa"/>
                                            </w:trPr>
                                            <w:tc>
                                              <w:tcPr>
                                                <w:tcW w:w="0" w:type="auto"/>
                                                <w:tcMar>
                                                  <w:top w:w="150" w:type="dxa"/>
                                                  <w:left w:w="150" w:type="dxa"/>
                                                  <w:bottom w:w="150" w:type="dxa"/>
                                                  <w:right w:w="150" w:type="dxa"/>
                                                </w:tcMar>
                                                <w:hideMark/>
                                              </w:tcPr>
                                              <w:p w:rsidR="001E6EED" w:rsidRDefault="001E6EED">
                                                <w:pPr>
                                                  <w:jc w:val="center"/>
                                                  <w:rPr>
                                                    <w:rFonts w:ascii="Arial" w:hAnsi="Arial" w:cs="Arial"/>
                                                    <w:sz w:val="18"/>
                                                    <w:szCs w:val="18"/>
                                                  </w:rPr>
                                                </w:pPr>
                                                <w:r>
                                                  <w:rPr>
                                                    <w:rFonts w:ascii="Arial" w:hAnsi="Arial" w:cs="Arial"/>
                                                    <w:noProof/>
                                                    <w:sz w:val="18"/>
                                                    <w:szCs w:val="18"/>
                                                  </w:rPr>
                                                  <w:drawing>
                                                    <wp:inline distT="0" distB="0" distL="0" distR="0">
                                                      <wp:extent cx="5905500" cy="1419225"/>
                                                      <wp:effectExtent l="0" t="0" r="0" b="9525"/>
                                                      <wp:docPr id="1" name="Picture 1" descr="http://d31hzlhk6di2h5.cloudfront.net/20200609/d0/eb/fc/1e/579139fc8fc2198d1c0746b0_1240x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31hzlhk6di2h5.cloudfront.net/20200609/d0/eb/fc/1e/579139fc8fc2198d1c0746b0_1240x298.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500" cy="1419225"/>
                                                              </a:xfrm>
                                                              <a:prstGeom prst="rect">
                                                                <a:avLst/>
                                                              </a:prstGeom>
                                                              <a:noFill/>
                                                              <a:ln>
                                                                <a:noFill/>
                                                              </a:ln>
                                                            </pic:spPr>
                                                          </pic:pic>
                                                        </a:graphicData>
                                                      </a:graphic>
                                                    </wp:inline>
                                                  </w:drawing>
                                                </w:r>
                                              </w:p>
                                            </w:tc>
                                          </w:tr>
                                        </w:tbl>
                                        <w:p w:rsidR="001E6EED" w:rsidRDefault="001E6EED">
                                          <w:pPr>
                                            <w:rPr>
                                              <w:rFonts w:ascii="Times New Roman" w:eastAsia="Times New Roman" w:hAnsi="Times New Roman"/>
                                              <w:sz w:val="20"/>
                                              <w:szCs w:val="20"/>
                                            </w:rPr>
                                          </w:pPr>
                                        </w:p>
                                      </w:tc>
                                    </w:tr>
                                  </w:tbl>
                                  <w:p w:rsidR="001E6EED" w:rsidRDefault="001E6EED">
                                    <w:pPr>
                                      <w:rPr>
                                        <w:rFonts w:ascii="Times New Roman" w:eastAsia="Times New Roman" w:hAnsi="Times New Roman"/>
                                        <w:sz w:val="20"/>
                                        <w:szCs w:val="20"/>
                                      </w:rPr>
                                    </w:pPr>
                                  </w:p>
                                </w:tc>
                              </w:tr>
                            </w:tbl>
                            <w:p w:rsidR="001E6EED" w:rsidRDefault="001E6EED">
                              <w:pPr>
                                <w:rPr>
                                  <w:rFonts w:ascii="Times New Roman" w:eastAsia="Times New Roman" w:hAnsi="Times New Roman"/>
                                  <w:sz w:val="20"/>
                                  <w:szCs w:val="20"/>
                                </w:rPr>
                              </w:pPr>
                            </w:p>
                          </w:tc>
                        </w:tr>
                      </w:tbl>
                      <w:p w:rsidR="001E6EED" w:rsidRDefault="001E6EED">
                        <w:pPr>
                          <w:rPr>
                            <w:rFonts w:ascii="Times New Roman" w:eastAsia="Times New Roman" w:hAnsi="Times New Roman"/>
                            <w:sz w:val="20"/>
                            <w:szCs w:val="20"/>
                          </w:rPr>
                        </w:pPr>
                      </w:p>
                    </w:tc>
                  </w:tr>
                </w:tbl>
                <w:p w:rsidR="001E6EED" w:rsidRDefault="001E6EED">
                  <w:pPr>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9600"/>
                  </w:tblGrid>
                  <w:tr w:rsidR="001E6EED">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1E6EED">
                          <w:trPr>
                            <w:tblCellSpacing w:w="0" w:type="dxa"/>
                          </w:trPr>
                          <w:tc>
                            <w:tcPr>
                              <w:tcW w:w="0" w:type="auto"/>
                              <w:tcMar>
                                <w:top w:w="0" w:type="dxa"/>
                                <w:left w:w="0" w:type="dxa"/>
                                <w:bottom w:w="150" w:type="dxa"/>
                                <w:right w:w="0" w:type="dxa"/>
                              </w:tcMar>
                              <w:vAlign w:val="center"/>
                              <w:hideMark/>
                            </w:tcPr>
                            <w:p w:rsidR="001E6EED" w:rsidRDefault="001E6EED">
                              <w:pPr>
                                <w:rPr>
                                  <w:rFonts w:ascii="Arial" w:hAnsi="Arial" w:cs="Arial"/>
                                  <w:sz w:val="18"/>
                                  <w:szCs w:val="18"/>
                                </w:rPr>
                              </w:pPr>
                            </w:p>
                          </w:tc>
                        </w:tr>
                        <w:tr w:rsidR="001E6EED">
                          <w:trPr>
                            <w:tblCellSpacing w:w="0" w:type="dxa"/>
                          </w:trPr>
                          <w:tc>
                            <w:tcPr>
                              <w:tcW w:w="0" w:type="auto"/>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9300"/>
                              </w:tblGrid>
                              <w:tr w:rsidR="001E6EED">
                                <w:trPr>
                                  <w:tblCellSpacing w:w="0" w:type="dxa"/>
                                </w:trPr>
                                <w:tc>
                                  <w:tcPr>
                                    <w:tcW w:w="0" w:type="auto"/>
                                  </w:tcPr>
                                  <w:p w:rsidR="001E6EED" w:rsidRDefault="001E6EED">
                                    <w:pPr>
                                      <w:spacing w:line="315" w:lineRule="atLeast"/>
                                      <w:jc w:val="center"/>
                                      <w:rPr>
                                        <w:rFonts w:ascii="Helvetica" w:hAnsi="Helvetica" w:cs="Helvetica"/>
                                        <w:color w:val="454B55"/>
                                        <w:sz w:val="21"/>
                                        <w:szCs w:val="21"/>
                                      </w:rPr>
                                    </w:pPr>
                                    <w:r>
                                      <w:rPr>
                                        <w:rStyle w:val="e2ma-style"/>
                                        <w:rFonts w:ascii="Times New Roman" w:hAnsi="Times New Roman"/>
                                        <w:b/>
                                        <w:bCs/>
                                        <w:i/>
                                        <w:iCs/>
                                        <w:color w:val="FF0000"/>
                                        <w:sz w:val="36"/>
                                        <w:szCs w:val="36"/>
                                      </w:rPr>
                                      <w:t>COVID-19 Press Information</w:t>
                                    </w:r>
                                  </w:p>
                                  <w:p w:rsidR="001E6EED" w:rsidRDefault="001E6EED">
                                    <w:pPr>
                                      <w:spacing w:line="315" w:lineRule="atLeast"/>
                                      <w:rPr>
                                        <w:rFonts w:ascii="Helvetica" w:hAnsi="Helvetica" w:cs="Helvetica"/>
                                        <w:color w:val="454B55"/>
                                        <w:sz w:val="21"/>
                                        <w:szCs w:val="21"/>
                                      </w:rPr>
                                    </w:pPr>
                                    <w:r>
                                      <w:rPr>
                                        <w:rStyle w:val="e2ma-style"/>
                                        <w:rFonts w:ascii="Times New Roman" w:hAnsi="Times New Roman"/>
                                        <w:b/>
                                        <w:bCs/>
                                        <w:color w:val="454B55"/>
                                        <w:sz w:val="21"/>
                                        <w:szCs w:val="21"/>
                                      </w:rPr>
                                      <w:t> </w:t>
                                    </w:r>
                                  </w:p>
                                  <w:p w:rsidR="001E6EED" w:rsidRDefault="001E6EED">
                                    <w:pPr>
                                      <w:spacing w:line="315" w:lineRule="atLeast"/>
                                      <w:rPr>
                                        <w:rFonts w:ascii="Helvetica" w:hAnsi="Helvetica" w:cs="Helvetica"/>
                                        <w:color w:val="454B55"/>
                                        <w:sz w:val="21"/>
                                        <w:szCs w:val="21"/>
                                      </w:rPr>
                                    </w:pPr>
                                    <w:r>
                                      <w:rPr>
                                        <w:rStyle w:val="e2ma-style"/>
                                        <w:rFonts w:ascii="Times New Roman" w:hAnsi="Times New Roman"/>
                                        <w:b/>
                                        <w:bCs/>
                                        <w:color w:val="454B55"/>
                                        <w:sz w:val="21"/>
                                        <w:szCs w:val="21"/>
                                      </w:rPr>
                                      <w:t>FOR IMMEDIATE RELEASE </w:t>
                                    </w:r>
                                  </w:p>
                                  <w:p w:rsidR="001E6EED" w:rsidRDefault="001E6EED">
                                    <w:pPr>
                                      <w:spacing w:line="315" w:lineRule="atLeast"/>
                                      <w:rPr>
                                        <w:rFonts w:ascii="Helvetica" w:hAnsi="Helvetica" w:cs="Helvetica"/>
                                        <w:color w:val="454B55"/>
                                        <w:sz w:val="21"/>
                                        <w:szCs w:val="21"/>
                                      </w:rPr>
                                    </w:pPr>
                                    <w:r>
                                      <w:rPr>
                                        <w:rStyle w:val="e2ma-style"/>
                                        <w:rFonts w:ascii="Times New Roman" w:hAnsi="Times New Roman"/>
                                        <w:b/>
                                        <w:bCs/>
                                        <w:color w:val="454B55"/>
                                        <w:sz w:val="21"/>
                                        <w:szCs w:val="21"/>
                                      </w:rPr>
                                      <w:t xml:space="preserve">June 9, 2020                                                                                               </w:t>
                                    </w:r>
                                  </w:p>
                                  <w:p w:rsidR="001E6EED" w:rsidRDefault="001E6EED">
                                    <w:pPr>
                                      <w:spacing w:line="315" w:lineRule="atLeast"/>
                                      <w:rPr>
                                        <w:rFonts w:ascii="Helvetica" w:hAnsi="Helvetica" w:cs="Helvetica"/>
                                        <w:color w:val="454B55"/>
                                        <w:sz w:val="21"/>
                                        <w:szCs w:val="21"/>
                                      </w:rPr>
                                    </w:pPr>
                                  </w:p>
                                  <w:p w:rsidR="001E6EED" w:rsidRDefault="001E6EED">
                                    <w:pPr>
                                      <w:spacing w:line="210" w:lineRule="atLeast"/>
                                      <w:rPr>
                                        <w:rFonts w:ascii="Helvetica" w:hAnsi="Helvetica" w:cs="Helvetica"/>
                                        <w:color w:val="454B55"/>
                                        <w:sz w:val="21"/>
                                        <w:szCs w:val="21"/>
                                      </w:rPr>
                                    </w:pPr>
                                    <w:r>
                                      <w:rPr>
                                        <w:rStyle w:val="e2ma-style"/>
                                        <w:rFonts w:ascii="Times New Roman" w:hAnsi="Times New Roman"/>
                                        <w:b/>
                                        <w:bCs/>
                                        <w:color w:val="454B55"/>
                                        <w:sz w:val="21"/>
                                        <w:szCs w:val="21"/>
                                      </w:rPr>
                                      <w:t xml:space="preserve">CONTACT: </w:t>
                                    </w:r>
                                    <w:proofErr w:type="spellStart"/>
                                    <w:r>
                                      <w:rPr>
                                        <w:rStyle w:val="e2ma-style"/>
                                        <w:rFonts w:ascii="Times New Roman" w:hAnsi="Times New Roman"/>
                                        <w:b/>
                                        <w:bCs/>
                                        <w:color w:val="454B55"/>
                                        <w:sz w:val="21"/>
                                        <w:szCs w:val="21"/>
                                      </w:rPr>
                                      <w:t>Jerrel</w:t>
                                    </w:r>
                                    <w:proofErr w:type="spellEnd"/>
                                    <w:r>
                                      <w:rPr>
                                        <w:rStyle w:val="e2ma-style"/>
                                        <w:rFonts w:ascii="Times New Roman" w:hAnsi="Times New Roman"/>
                                        <w:b/>
                                        <w:bCs/>
                                        <w:color w:val="454B55"/>
                                        <w:sz w:val="21"/>
                                        <w:szCs w:val="21"/>
                                      </w:rPr>
                                      <w:t xml:space="preserve"> Harvey</w:t>
                                    </w:r>
                                  </w:p>
                                  <w:p w:rsidR="001E6EED" w:rsidRDefault="001E6EED">
                                    <w:pPr>
                                      <w:spacing w:line="210" w:lineRule="atLeast"/>
                                      <w:rPr>
                                        <w:rFonts w:ascii="Helvetica" w:hAnsi="Helvetica" w:cs="Helvetica"/>
                                        <w:color w:val="454B55"/>
                                        <w:sz w:val="21"/>
                                        <w:szCs w:val="21"/>
                                      </w:rPr>
                                    </w:pPr>
                                    <w:r>
                                      <w:rPr>
                                        <w:rStyle w:val="e2ma-style"/>
                                        <w:rFonts w:ascii="Times New Roman" w:hAnsi="Times New Roman"/>
                                        <w:b/>
                                        <w:bCs/>
                                        <w:color w:val="454B55"/>
                                        <w:sz w:val="21"/>
                                        <w:szCs w:val="21"/>
                                      </w:rPr>
                                      <w:t>Press Office: Governor's Office</w:t>
                                    </w:r>
                                  </w:p>
                                  <w:p w:rsidR="001E6EED" w:rsidRDefault="001E6EED">
                                    <w:pPr>
                                      <w:spacing w:line="210" w:lineRule="atLeast"/>
                                      <w:rPr>
                                        <w:rFonts w:ascii="Helvetica" w:hAnsi="Helvetica" w:cs="Helvetica"/>
                                        <w:color w:val="454B55"/>
                                        <w:sz w:val="21"/>
                                        <w:szCs w:val="21"/>
                                      </w:rPr>
                                    </w:pPr>
                                    <w:r>
                                      <w:rPr>
                                        <w:rStyle w:val="Strong"/>
                                        <w:color w:val="454B55"/>
                                        <w:sz w:val="21"/>
                                        <w:szCs w:val="21"/>
                                      </w:rPr>
                                      <w:t xml:space="preserve">Email: </w:t>
                                    </w:r>
                                    <w:hyperlink r:id="rId5" w:history="1">
                                      <w:r>
                                        <w:rPr>
                                          <w:rStyle w:val="Hyperlink"/>
                                          <w:sz w:val="21"/>
                                          <w:szCs w:val="21"/>
                                        </w:rPr>
                                        <w:t>Jerrel.Harvey@nj.gov</w:t>
                                      </w:r>
                                    </w:hyperlink>
                                  </w:p>
                                  <w:p w:rsidR="001E6EED" w:rsidRDefault="001E6EED">
                                    <w:pPr>
                                      <w:spacing w:line="210" w:lineRule="atLeast"/>
                                      <w:rPr>
                                        <w:rFonts w:ascii="Helvetica" w:hAnsi="Helvetica" w:cs="Helvetica"/>
                                        <w:color w:val="454B55"/>
                                        <w:sz w:val="21"/>
                                        <w:szCs w:val="21"/>
                                      </w:rPr>
                                    </w:pPr>
                                  </w:p>
                                  <w:p w:rsidR="001E6EED" w:rsidRDefault="001E6EED">
                                    <w:pPr>
                                      <w:spacing w:line="315" w:lineRule="atLeast"/>
                                      <w:jc w:val="center"/>
                                      <w:rPr>
                                        <w:rFonts w:ascii="Times New Roman" w:hAnsi="Times New Roman"/>
                                        <w:color w:val="454B55"/>
                                        <w:sz w:val="21"/>
                                        <w:szCs w:val="21"/>
                                      </w:rPr>
                                    </w:pPr>
                                    <w:r>
                                      <w:rPr>
                                        <w:rStyle w:val="e2ma-style"/>
                                        <w:rFonts w:ascii="Times New Roman" w:hAnsi="Times New Roman"/>
                                        <w:b/>
                                        <w:bCs/>
                                        <w:color w:val="454B55"/>
                                        <w:sz w:val="27"/>
                                        <w:szCs w:val="27"/>
                                      </w:rPr>
                                      <w:t>Governor Murphy Signs Executive Orders Lifting Limits on Indoor and Outdoor Gatherings, Opening Pools Effective June 22, and Opening Additional Outdoor Recreational Businesses</w:t>
                                    </w:r>
                                    <w:r>
                                      <w:rPr>
                                        <w:rFonts w:ascii="Times New Roman" w:hAnsi="Times New Roman"/>
                                        <w:color w:val="454B55"/>
                                        <w:sz w:val="21"/>
                                        <w:szCs w:val="21"/>
                                      </w:rPr>
                                      <w:t xml:space="preserve"> </w:t>
                                    </w:r>
                                  </w:p>
                                  <w:p w:rsidR="001E6EED" w:rsidRDefault="001E6EED">
                                    <w:pPr>
                                      <w:spacing w:line="315" w:lineRule="atLeast"/>
                                      <w:jc w:val="center"/>
                                      <w:rPr>
                                        <w:rFonts w:ascii="Helvetica" w:hAnsi="Helvetica" w:cs="Helvetica"/>
                                        <w:color w:val="454B55"/>
                                        <w:sz w:val="21"/>
                                        <w:szCs w:val="21"/>
                                      </w:rPr>
                                    </w:pPr>
                                  </w:p>
                                  <w:p w:rsidR="001E6EED" w:rsidRDefault="001E6EED">
                                    <w:pPr>
                                      <w:spacing w:line="315" w:lineRule="atLeast"/>
                                      <w:rPr>
                                        <w:rStyle w:val="e2ma-style"/>
                                        <w:rFonts w:ascii="Times New Roman" w:hAnsi="Times New Roman"/>
                                      </w:rPr>
                                    </w:pPr>
                                    <w:r>
                                      <w:rPr>
                                        <w:rStyle w:val="e2ma-style"/>
                                        <w:rFonts w:ascii="Times New Roman" w:hAnsi="Times New Roman"/>
                                        <w:color w:val="454B55"/>
                                        <w:sz w:val="21"/>
                                        <w:szCs w:val="21"/>
                                      </w:rPr>
                                      <w:t>Governor Phil Murphy today signed two executive orders 1) raising limits on outdoor and indoor gatherings and 2) opening pools effective June 22 and additional outdoor recreational businesses effective immediately.</w:t>
                                    </w:r>
                                  </w:p>
                                  <w:p w:rsidR="001E6EED" w:rsidRDefault="001E6EED">
                                    <w:pPr>
                                      <w:spacing w:line="315" w:lineRule="atLeast"/>
                                      <w:rPr>
                                        <w:rFonts w:ascii="Helvetica" w:hAnsi="Helvetica" w:cs="Helvetica"/>
                                      </w:rPr>
                                    </w:pPr>
                                  </w:p>
                                  <w:p w:rsidR="001E6EED" w:rsidRDefault="001E6EED">
                                    <w:pPr>
                                      <w:spacing w:line="315" w:lineRule="atLeast"/>
                                      <w:rPr>
                                        <w:rFonts w:ascii="Times New Roman" w:hAnsi="Times New Roman"/>
                                        <w:color w:val="454B55"/>
                                        <w:sz w:val="21"/>
                                        <w:szCs w:val="21"/>
                                      </w:rPr>
                                    </w:pPr>
                                    <w:r>
                                      <w:rPr>
                                        <w:rStyle w:val="e2ma-style"/>
                                        <w:rFonts w:ascii="Times New Roman" w:hAnsi="Times New Roman"/>
                                        <w:color w:val="454B55"/>
                                        <w:sz w:val="21"/>
                                        <w:szCs w:val="21"/>
                                      </w:rPr>
                                      <w:t xml:space="preserve">“With more of our businesses reopening, we are no longer requiring New </w:t>
                                    </w:r>
                                    <w:proofErr w:type="spellStart"/>
                                    <w:r>
                                      <w:rPr>
                                        <w:rStyle w:val="e2ma-style"/>
                                        <w:rFonts w:ascii="Times New Roman" w:hAnsi="Times New Roman"/>
                                        <w:color w:val="454B55"/>
                                        <w:sz w:val="21"/>
                                        <w:szCs w:val="21"/>
                                      </w:rPr>
                                      <w:t>Jerseyans</w:t>
                                    </w:r>
                                    <w:proofErr w:type="spellEnd"/>
                                    <w:r>
                                      <w:rPr>
                                        <w:rStyle w:val="e2ma-style"/>
                                        <w:rFonts w:ascii="Times New Roman" w:hAnsi="Times New Roman"/>
                                        <w:color w:val="454B55"/>
                                        <w:sz w:val="21"/>
                                        <w:szCs w:val="21"/>
                                      </w:rPr>
                                      <w:t xml:space="preserve"> to stay at home, but we are asking you to continue to be responsible and safe,” </w:t>
                                    </w:r>
                                    <w:r>
                                      <w:rPr>
                                        <w:rStyle w:val="e2ma-style"/>
                                        <w:rFonts w:ascii="Times New Roman" w:hAnsi="Times New Roman"/>
                                        <w:b/>
                                        <w:bCs/>
                                        <w:color w:val="454B55"/>
                                        <w:sz w:val="21"/>
                                        <w:szCs w:val="21"/>
                                      </w:rPr>
                                      <w:t xml:space="preserve">said Governor Murphy. </w:t>
                                    </w:r>
                                    <w:r>
                                      <w:rPr>
                                        <w:rStyle w:val="e2ma-style"/>
                                        <w:rFonts w:ascii="Times New Roman" w:hAnsi="Times New Roman"/>
                                        <w:color w:val="454B55"/>
                                        <w:sz w:val="21"/>
                                        <w:szCs w:val="21"/>
                                      </w:rPr>
                                      <w:t>“These actions will put us even more firmly on our Road Back and complement the steps we’ve already taken to begin our restart and recovery.”</w:t>
                                    </w:r>
                                    <w:r>
                                      <w:rPr>
                                        <w:rFonts w:ascii="Times New Roman" w:hAnsi="Times New Roman"/>
                                        <w:color w:val="454B55"/>
                                        <w:sz w:val="21"/>
                                        <w:szCs w:val="21"/>
                                      </w:rPr>
                                      <w:t xml:space="preserve"> </w:t>
                                    </w:r>
                                  </w:p>
                                  <w:p w:rsidR="001E6EED" w:rsidRDefault="001E6EED">
                                    <w:pPr>
                                      <w:spacing w:line="315" w:lineRule="atLeast"/>
                                      <w:rPr>
                                        <w:rFonts w:ascii="Helvetica" w:hAnsi="Helvetica" w:cs="Helvetica"/>
                                        <w:color w:val="454B55"/>
                                        <w:sz w:val="21"/>
                                        <w:szCs w:val="21"/>
                                      </w:rPr>
                                    </w:pPr>
                                  </w:p>
                                  <w:p w:rsidR="001E6EED" w:rsidRDefault="001E6EED">
                                    <w:pPr>
                                      <w:spacing w:line="315" w:lineRule="atLeast"/>
                                      <w:rPr>
                                        <w:rFonts w:ascii="Times New Roman" w:hAnsi="Times New Roman"/>
                                        <w:color w:val="454B55"/>
                                        <w:sz w:val="21"/>
                                        <w:szCs w:val="21"/>
                                      </w:rPr>
                                    </w:pPr>
                                    <w:r>
                                      <w:rPr>
                                        <w:rStyle w:val="e2ma-style"/>
                                        <w:rFonts w:ascii="Times New Roman" w:hAnsi="Times New Roman"/>
                                        <w:color w:val="454B55"/>
                                        <w:sz w:val="21"/>
                                        <w:szCs w:val="21"/>
                                      </w:rPr>
                                      <w:t>Under Executive Order No. 152, effective immediately, indoor gatherings are limited to 25 percent of the capacity of the room, but regardless of the room's capacity, such limit shall never be less than 10 or more than 50 people.  All attendees at the gathering must wear face coverings, unless for a medical reason or if the individual is under 2 years old, individuals must remain six feet apart at all times, and physical items may not be shared by multiple attendees of the same gathering unless sanitized before and after uses.</w:t>
                                    </w:r>
                                    <w:r>
                                      <w:rPr>
                                        <w:rFonts w:ascii="Times New Roman" w:hAnsi="Times New Roman"/>
                                        <w:color w:val="454B55"/>
                                        <w:sz w:val="21"/>
                                        <w:szCs w:val="21"/>
                                      </w:rPr>
                                      <w:t xml:space="preserve"> </w:t>
                                    </w:r>
                                  </w:p>
                                  <w:p w:rsidR="001E6EED" w:rsidRDefault="001E6EED">
                                    <w:pPr>
                                      <w:spacing w:line="315" w:lineRule="atLeast"/>
                                      <w:rPr>
                                        <w:rFonts w:ascii="Helvetica" w:hAnsi="Helvetica" w:cs="Helvetica"/>
                                        <w:color w:val="454B55"/>
                                        <w:sz w:val="21"/>
                                        <w:szCs w:val="21"/>
                                      </w:rPr>
                                    </w:pPr>
                                  </w:p>
                                  <w:p w:rsidR="001E6EED" w:rsidRDefault="001E6EED">
                                    <w:pPr>
                                      <w:spacing w:line="315" w:lineRule="atLeast"/>
                                      <w:rPr>
                                        <w:rFonts w:ascii="Times New Roman" w:hAnsi="Times New Roman"/>
                                        <w:color w:val="454B55"/>
                                        <w:sz w:val="21"/>
                                        <w:szCs w:val="21"/>
                                      </w:rPr>
                                    </w:pPr>
                                    <w:r>
                                      <w:rPr>
                                        <w:rStyle w:val="e2ma-style"/>
                                        <w:rFonts w:ascii="Times New Roman" w:hAnsi="Times New Roman"/>
                                        <w:color w:val="454B55"/>
                                        <w:sz w:val="21"/>
                                        <w:szCs w:val="21"/>
                                      </w:rPr>
                                      <w:t>Outdoor gatherings are limited to 100 people, and attendees are required to be six feet apart.  Individuals should wear face coverings at all times where social distancing measures are difficult to maintain, and individuals who are in vehicles shall not count towards the gathering limit.  </w:t>
                                    </w:r>
                                    <w:r>
                                      <w:rPr>
                                        <w:rFonts w:ascii="Times New Roman" w:hAnsi="Times New Roman"/>
                                        <w:color w:val="454B55"/>
                                        <w:sz w:val="21"/>
                                        <w:szCs w:val="21"/>
                                      </w:rPr>
                                      <w:t xml:space="preserve"> </w:t>
                                    </w:r>
                                  </w:p>
                                  <w:p w:rsidR="001E6EED" w:rsidRDefault="001E6EED">
                                    <w:pPr>
                                      <w:spacing w:line="315" w:lineRule="atLeast"/>
                                      <w:rPr>
                                        <w:rFonts w:ascii="Helvetica" w:hAnsi="Helvetica" w:cs="Helvetica"/>
                                        <w:color w:val="454B55"/>
                                        <w:sz w:val="21"/>
                                        <w:szCs w:val="21"/>
                                      </w:rPr>
                                    </w:pPr>
                                  </w:p>
                                  <w:p w:rsidR="001E6EED" w:rsidRDefault="001E6EED">
                                    <w:pPr>
                                      <w:spacing w:line="315" w:lineRule="atLeast"/>
                                      <w:rPr>
                                        <w:rFonts w:ascii="Times New Roman" w:hAnsi="Times New Roman"/>
                                        <w:color w:val="454B55"/>
                                        <w:sz w:val="21"/>
                                        <w:szCs w:val="21"/>
                                      </w:rPr>
                                    </w:pPr>
                                    <w:r>
                                      <w:rPr>
                                        <w:rStyle w:val="e2ma-style"/>
                                        <w:rFonts w:ascii="Times New Roman" w:hAnsi="Times New Roman"/>
                                        <w:color w:val="454B55"/>
                                        <w:sz w:val="21"/>
                                        <w:szCs w:val="21"/>
                                      </w:rPr>
                                      <w:t>Nothing in the Order shall prevent a person at a gathering from momentarily removing their mask to place or receive an item in their mouth, if done for religious purposes, or for health and safety.  </w:t>
                                    </w:r>
                                    <w:r>
                                      <w:rPr>
                                        <w:rFonts w:ascii="Times New Roman" w:hAnsi="Times New Roman"/>
                                        <w:color w:val="454B55"/>
                                        <w:sz w:val="21"/>
                                        <w:szCs w:val="21"/>
                                      </w:rPr>
                                      <w:t xml:space="preserve"> </w:t>
                                    </w:r>
                                  </w:p>
                                  <w:p w:rsidR="001E6EED" w:rsidRDefault="001E6EED">
                                    <w:pPr>
                                      <w:spacing w:line="315" w:lineRule="atLeast"/>
                                      <w:rPr>
                                        <w:rFonts w:ascii="Helvetica" w:hAnsi="Helvetica" w:cs="Helvetica"/>
                                        <w:color w:val="454B55"/>
                                        <w:sz w:val="21"/>
                                        <w:szCs w:val="21"/>
                                      </w:rPr>
                                    </w:pPr>
                                  </w:p>
                                  <w:p w:rsidR="001E6EED" w:rsidRDefault="001E6EED">
                                    <w:pPr>
                                      <w:spacing w:line="315" w:lineRule="atLeast"/>
                                      <w:rPr>
                                        <w:rFonts w:ascii="Times New Roman" w:hAnsi="Times New Roman"/>
                                        <w:color w:val="454B55"/>
                                        <w:sz w:val="21"/>
                                        <w:szCs w:val="21"/>
                                      </w:rPr>
                                    </w:pPr>
                                    <w:r>
                                      <w:rPr>
                                        <w:rStyle w:val="e2ma-style"/>
                                        <w:rFonts w:ascii="Times New Roman" w:hAnsi="Times New Roman"/>
                                        <w:color w:val="454B55"/>
                                        <w:sz w:val="21"/>
                                        <w:szCs w:val="21"/>
                                      </w:rPr>
                                      <w:t>Additionally, available parking at State Parks and Forests, and at county and municipal parks, may reopen to their full maximum capacity.</w:t>
                                    </w:r>
                                    <w:r>
                                      <w:rPr>
                                        <w:rFonts w:ascii="Times New Roman" w:hAnsi="Times New Roman"/>
                                        <w:color w:val="454B55"/>
                                        <w:sz w:val="21"/>
                                        <w:szCs w:val="21"/>
                                      </w:rPr>
                                      <w:t xml:space="preserve"> </w:t>
                                    </w:r>
                                  </w:p>
                                  <w:p w:rsidR="001E6EED" w:rsidRDefault="001E6EED">
                                    <w:pPr>
                                      <w:spacing w:line="315" w:lineRule="atLeast"/>
                                      <w:rPr>
                                        <w:rFonts w:ascii="Helvetica" w:hAnsi="Helvetica" w:cs="Helvetica"/>
                                        <w:color w:val="454B55"/>
                                        <w:sz w:val="21"/>
                                        <w:szCs w:val="21"/>
                                      </w:rPr>
                                    </w:pPr>
                                  </w:p>
                                  <w:p w:rsidR="001E6EED" w:rsidRDefault="001E6EED">
                                    <w:pPr>
                                      <w:spacing w:line="315" w:lineRule="atLeast"/>
                                      <w:rPr>
                                        <w:rFonts w:ascii="Times New Roman" w:hAnsi="Times New Roman"/>
                                        <w:color w:val="454B55"/>
                                        <w:sz w:val="21"/>
                                        <w:szCs w:val="21"/>
                                      </w:rPr>
                                    </w:pPr>
                                    <w:r>
                                      <w:rPr>
                                        <w:rStyle w:val="e2ma-style"/>
                                        <w:rFonts w:ascii="Times New Roman" w:hAnsi="Times New Roman"/>
                                        <w:color w:val="454B55"/>
                                        <w:sz w:val="21"/>
                                        <w:szCs w:val="21"/>
                                      </w:rPr>
                                      <w:t>Under Executive Order No. 153, outdoor swimming pools can open effective at 6:00 a.m. on Monday, June 22, provided that it complies with standards and policies that will be issued by the Department of Health.  Pool facilities may open for the purpose of lifeguard training and lifeguard swimming lessons prior to June 22.</w:t>
                                    </w:r>
                                    <w:r>
                                      <w:rPr>
                                        <w:rFonts w:ascii="Times New Roman" w:hAnsi="Times New Roman"/>
                                        <w:color w:val="454B55"/>
                                        <w:sz w:val="21"/>
                                        <w:szCs w:val="21"/>
                                      </w:rPr>
                                      <w:t xml:space="preserve"> </w:t>
                                    </w:r>
                                  </w:p>
                                  <w:p w:rsidR="001E6EED" w:rsidRDefault="001E6EED">
                                    <w:pPr>
                                      <w:spacing w:line="315" w:lineRule="atLeast"/>
                                      <w:rPr>
                                        <w:rFonts w:ascii="Helvetica" w:hAnsi="Helvetica" w:cs="Helvetica"/>
                                        <w:color w:val="454B55"/>
                                        <w:sz w:val="21"/>
                                        <w:szCs w:val="21"/>
                                      </w:rPr>
                                    </w:pPr>
                                  </w:p>
                                  <w:p w:rsidR="001E6EED" w:rsidRDefault="001E6EED">
                                    <w:pPr>
                                      <w:spacing w:line="315" w:lineRule="atLeast"/>
                                      <w:rPr>
                                        <w:rFonts w:ascii="Times New Roman" w:hAnsi="Times New Roman"/>
                                        <w:color w:val="454B55"/>
                                        <w:sz w:val="21"/>
                                        <w:szCs w:val="21"/>
                                      </w:rPr>
                                    </w:pPr>
                                    <w:r>
                                      <w:rPr>
                                        <w:rStyle w:val="e2ma-style"/>
                                        <w:rFonts w:ascii="Times New Roman" w:hAnsi="Times New Roman"/>
                                        <w:color w:val="454B55"/>
                                        <w:sz w:val="21"/>
                                        <w:szCs w:val="21"/>
                                      </w:rPr>
                                      <w:t>Additionally, outdoor recreational and entertainment businesses are permitted to reopen immediately, with the exception of amusement parks, water parks, and arcades.  These recreational and entertainment businesses are required to abide by a number of social distancing protocols that are specified in the Order.  Any type of event at an outdoor recreational or entertainment business that involves individuals there at a specific time for a common reason, such as a movie or concert, are subject to the restrictions on outdoor gatherings.  </w:t>
                                    </w:r>
                                    <w:r>
                                      <w:rPr>
                                        <w:rFonts w:ascii="Times New Roman" w:hAnsi="Times New Roman"/>
                                        <w:color w:val="454B55"/>
                                        <w:sz w:val="21"/>
                                        <w:szCs w:val="21"/>
                                      </w:rPr>
                                      <w:t xml:space="preserve"> </w:t>
                                    </w:r>
                                  </w:p>
                                  <w:p w:rsidR="001E6EED" w:rsidRDefault="001E6EED">
                                    <w:pPr>
                                      <w:spacing w:line="315" w:lineRule="atLeast"/>
                                      <w:rPr>
                                        <w:rFonts w:ascii="Helvetica" w:hAnsi="Helvetica" w:cs="Helvetica"/>
                                        <w:color w:val="454B55"/>
                                        <w:sz w:val="21"/>
                                        <w:szCs w:val="21"/>
                                      </w:rPr>
                                    </w:pPr>
                                  </w:p>
                                  <w:p w:rsidR="001E6EED" w:rsidRDefault="001E6EED">
                                    <w:pPr>
                                      <w:spacing w:line="315" w:lineRule="atLeast"/>
                                      <w:rPr>
                                        <w:rFonts w:ascii="Times New Roman" w:hAnsi="Times New Roman"/>
                                        <w:color w:val="454B55"/>
                                        <w:sz w:val="21"/>
                                        <w:szCs w:val="21"/>
                                      </w:rPr>
                                    </w:pPr>
                                    <w:r>
                                      <w:rPr>
                                        <w:rStyle w:val="e2ma-style"/>
                                        <w:rFonts w:ascii="Times New Roman" w:hAnsi="Times New Roman"/>
                                        <w:color w:val="454B55"/>
                                        <w:sz w:val="21"/>
                                        <w:szCs w:val="21"/>
                                      </w:rPr>
                                      <w:t>Public and private social clubs are permitted to reopen their outdoor spaces, provided they comply with all applicable terms of the Order.  And nothing in the Order prevents a business from operating an amusement game outdoors, such as a game on a boardwalk, so long as the game does not take place in an amusement park and an employee is present and adheres to all of the requirements in Paragraph 1 of this Order, including sanitizing all equipment before and after each use.</w:t>
                                    </w:r>
                                    <w:r>
                                      <w:rPr>
                                        <w:rFonts w:ascii="Times New Roman" w:hAnsi="Times New Roman"/>
                                        <w:color w:val="454B55"/>
                                        <w:sz w:val="21"/>
                                        <w:szCs w:val="21"/>
                                      </w:rPr>
                                      <w:t xml:space="preserve"> </w:t>
                                    </w:r>
                                  </w:p>
                                  <w:p w:rsidR="001E6EED" w:rsidRDefault="001E6EED">
                                    <w:pPr>
                                      <w:spacing w:line="315" w:lineRule="atLeast"/>
                                      <w:rPr>
                                        <w:rFonts w:ascii="Helvetica" w:hAnsi="Helvetica" w:cs="Helvetica"/>
                                        <w:color w:val="454B55"/>
                                        <w:sz w:val="21"/>
                                        <w:szCs w:val="21"/>
                                      </w:rPr>
                                    </w:pPr>
                                  </w:p>
                                  <w:p w:rsidR="001E6EED" w:rsidRDefault="001E6EED">
                                    <w:pPr>
                                      <w:spacing w:line="315" w:lineRule="atLeast"/>
                                      <w:rPr>
                                        <w:rFonts w:ascii="Times New Roman" w:hAnsi="Times New Roman"/>
                                        <w:color w:val="454B55"/>
                                        <w:sz w:val="21"/>
                                        <w:szCs w:val="21"/>
                                      </w:rPr>
                                    </w:pPr>
                                    <w:r>
                                      <w:rPr>
                                        <w:rStyle w:val="e2ma-style"/>
                                        <w:rFonts w:ascii="Times New Roman" w:hAnsi="Times New Roman"/>
                                        <w:color w:val="454B55"/>
                                        <w:sz w:val="21"/>
                                        <w:szCs w:val="21"/>
                                      </w:rPr>
                                      <w:t>Paragraph 2 of Executive Order No. 107, which requires New Jersey residents to remain home with limited exceptions, is formally rescinded.  The other provisions of that Order, including the requirement that businesses or non-profits accommodate their workforce for telework or work-from-home arrangements, wherever practicable, are still in effect. </w:t>
                                    </w:r>
                                    <w:r>
                                      <w:rPr>
                                        <w:rFonts w:ascii="Times New Roman" w:hAnsi="Times New Roman"/>
                                        <w:color w:val="454B55"/>
                                        <w:sz w:val="21"/>
                                        <w:szCs w:val="21"/>
                                      </w:rPr>
                                      <w:t xml:space="preserve"> </w:t>
                                    </w:r>
                                  </w:p>
                                  <w:p w:rsidR="001E6EED" w:rsidRDefault="001E6EED">
                                    <w:pPr>
                                      <w:spacing w:line="315" w:lineRule="atLeast"/>
                                      <w:rPr>
                                        <w:rFonts w:ascii="Helvetica" w:hAnsi="Helvetica" w:cs="Helvetica"/>
                                        <w:color w:val="454B55"/>
                                        <w:sz w:val="21"/>
                                        <w:szCs w:val="21"/>
                                      </w:rPr>
                                    </w:pPr>
                                  </w:p>
                                  <w:p w:rsidR="001E6EED" w:rsidRDefault="001E6EED">
                                    <w:pPr>
                                      <w:spacing w:line="315" w:lineRule="atLeast"/>
                                      <w:rPr>
                                        <w:rStyle w:val="e2ma-style"/>
                                        <w:rFonts w:ascii="Times New Roman" w:hAnsi="Times New Roman"/>
                                      </w:rPr>
                                    </w:pPr>
                                    <w:r>
                                      <w:rPr>
                                        <w:rStyle w:val="e2ma-style"/>
                                        <w:rFonts w:ascii="Times New Roman" w:hAnsi="Times New Roman"/>
                                        <w:color w:val="454B55"/>
                                        <w:sz w:val="21"/>
                                        <w:szCs w:val="21"/>
                                      </w:rPr>
                                      <w:t xml:space="preserve">For a copy of Executive Order No. 152, please click </w:t>
                                    </w:r>
                                    <w:hyperlink r:id="rId6" w:history="1">
                                      <w:r>
                                        <w:rPr>
                                          <w:rStyle w:val="Hyperlink"/>
                                          <w:rFonts w:ascii="Times New Roman" w:hAnsi="Times New Roman"/>
                                          <w:color w:val="F28474"/>
                                          <w:sz w:val="21"/>
                                          <w:szCs w:val="21"/>
                                        </w:rPr>
                                        <w:t>here</w:t>
                                      </w:r>
                                    </w:hyperlink>
                                    <w:r>
                                      <w:rPr>
                                        <w:rStyle w:val="e2ma-style"/>
                                        <w:rFonts w:ascii="Times New Roman" w:hAnsi="Times New Roman"/>
                                        <w:color w:val="454B55"/>
                                        <w:sz w:val="21"/>
                                        <w:szCs w:val="21"/>
                                      </w:rPr>
                                      <w:t>.</w:t>
                                    </w:r>
                                  </w:p>
                                  <w:p w:rsidR="001E6EED" w:rsidRDefault="001E6EED">
                                    <w:pPr>
                                      <w:spacing w:line="315" w:lineRule="atLeast"/>
                                      <w:rPr>
                                        <w:rFonts w:ascii="Helvetica" w:hAnsi="Helvetica" w:cs="Helvetica"/>
                                      </w:rPr>
                                    </w:pPr>
                                  </w:p>
                                  <w:p w:rsidR="001E6EED" w:rsidRDefault="001E6EED">
                                    <w:pPr>
                                      <w:spacing w:line="315" w:lineRule="atLeast"/>
                                      <w:rPr>
                                        <w:rFonts w:ascii="Helvetica" w:hAnsi="Helvetica" w:cs="Helvetica"/>
                                        <w:color w:val="454B55"/>
                                        <w:sz w:val="21"/>
                                        <w:szCs w:val="21"/>
                                      </w:rPr>
                                    </w:pPr>
                                    <w:r>
                                      <w:rPr>
                                        <w:rStyle w:val="e2ma-style"/>
                                        <w:rFonts w:ascii="Times New Roman" w:hAnsi="Times New Roman"/>
                                        <w:color w:val="454B55"/>
                                        <w:sz w:val="21"/>
                                        <w:szCs w:val="21"/>
                                      </w:rPr>
                                      <w:t xml:space="preserve">For a copy of Executive Order No. 153, please click </w:t>
                                    </w:r>
                                    <w:hyperlink r:id="rId7" w:history="1">
                                      <w:r>
                                        <w:rPr>
                                          <w:rStyle w:val="Hyperlink"/>
                                          <w:rFonts w:ascii="Times New Roman" w:hAnsi="Times New Roman"/>
                                          <w:color w:val="F28474"/>
                                          <w:sz w:val="21"/>
                                          <w:szCs w:val="21"/>
                                        </w:rPr>
                                        <w:t>here</w:t>
                                      </w:r>
                                    </w:hyperlink>
                                    <w:r>
                                      <w:rPr>
                                        <w:rStyle w:val="e2ma-style"/>
                                        <w:rFonts w:ascii="Times New Roman" w:hAnsi="Times New Roman"/>
                                        <w:color w:val="454B55"/>
                                        <w:sz w:val="21"/>
                                        <w:szCs w:val="21"/>
                                      </w:rPr>
                                      <w:t>. </w:t>
                                    </w:r>
                                  </w:p>
                                  <w:p w:rsidR="001E6EED" w:rsidRDefault="001E6EED">
                                    <w:pPr>
                                      <w:spacing w:line="315" w:lineRule="atLeast"/>
                                      <w:jc w:val="center"/>
                                      <w:rPr>
                                        <w:rFonts w:ascii="Helvetica" w:hAnsi="Helvetica" w:cs="Helvetica"/>
                                        <w:color w:val="454B55"/>
                                        <w:sz w:val="21"/>
                                        <w:szCs w:val="21"/>
                                      </w:rPr>
                                    </w:pPr>
                                  </w:p>
                                </w:tc>
                              </w:tr>
                            </w:tbl>
                            <w:p w:rsidR="001E6EED" w:rsidRDefault="001E6EED">
                              <w:pPr>
                                <w:rPr>
                                  <w:rFonts w:ascii="Times New Roman" w:eastAsia="Times New Roman" w:hAnsi="Times New Roman"/>
                                  <w:sz w:val="20"/>
                                  <w:szCs w:val="20"/>
                                </w:rPr>
                              </w:pPr>
                            </w:p>
                          </w:tc>
                        </w:tr>
                      </w:tbl>
                      <w:p w:rsidR="001E6EED" w:rsidRDefault="001E6EED">
                        <w:pPr>
                          <w:rPr>
                            <w:rFonts w:ascii="Times New Roman" w:eastAsia="Times New Roman" w:hAnsi="Times New Roman"/>
                            <w:sz w:val="20"/>
                            <w:szCs w:val="20"/>
                          </w:rPr>
                        </w:pPr>
                      </w:p>
                    </w:tc>
                  </w:tr>
                  <w:tr w:rsidR="001E6EED">
                    <w:trPr>
                      <w:tblCellSpacing w:w="0" w:type="dxa"/>
                    </w:trPr>
                    <w:tc>
                      <w:tcPr>
                        <w:tcW w:w="0" w:type="auto"/>
                        <w:vAlign w:val="center"/>
                        <w:hideMark/>
                      </w:tcPr>
                      <w:p w:rsidR="001E6EED" w:rsidRDefault="001E6EED">
                        <w:pPr>
                          <w:rPr>
                            <w:rFonts w:ascii="Times New Roman" w:eastAsia="Times New Roman" w:hAnsi="Times New Roman"/>
                            <w:sz w:val="20"/>
                            <w:szCs w:val="20"/>
                          </w:rPr>
                        </w:pPr>
                      </w:p>
                    </w:tc>
                  </w:tr>
                </w:tbl>
                <w:p w:rsidR="001E6EED" w:rsidRDefault="001E6EED"/>
              </w:tc>
            </w:tr>
          </w:tbl>
          <w:p w:rsidR="001E6EED" w:rsidRDefault="001E6EED">
            <w:pPr>
              <w:jc w:val="center"/>
              <w:rPr>
                <w:rFonts w:ascii="Times New Roman" w:eastAsia="Times New Roman" w:hAnsi="Times New Roman"/>
                <w:sz w:val="20"/>
                <w:szCs w:val="20"/>
              </w:rPr>
            </w:pPr>
          </w:p>
        </w:tc>
      </w:tr>
    </w:tbl>
    <w:p w:rsidR="001E6EED" w:rsidRDefault="001E6EED" w:rsidP="001E6EED"/>
    <w:p w:rsidR="00632433" w:rsidRDefault="00632433">
      <w:bookmarkStart w:id="0" w:name="_GoBack"/>
      <w:bookmarkEnd w:id="0"/>
    </w:p>
    <w:sectPr w:rsidR="006324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ED"/>
    <w:rsid w:val="001E6EED"/>
    <w:rsid w:val="00632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A3833-47F8-4534-A326-9259E8A8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EE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6EED"/>
    <w:rPr>
      <w:color w:val="0563C1"/>
      <w:u w:val="single"/>
    </w:rPr>
  </w:style>
  <w:style w:type="character" w:customStyle="1" w:styleId="e2ma-style">
    <w:name w:val="e2ma-style"/>
    <w:basedOn w:val="DefaultParagraphFont"/>
    <w:rsid w:val="001E6EED"/>
  </w:style>
  <w:style w:type="character" w:styleId="Strong">
    <w:name w:val="Strong"/>
    <w:basedOn w:val="DefaultParagraphFont"/>
    <w:uiPriority w:val="22"/>
    <w:qFormat/>
    <w:rsid w:val="001E6E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rldefense.com/v3/__https:/t.e2ma.net/click/nb1kbd/j83xrcb/3vncxj__;!!J30X0ZrnC1oQtbA!aM3Zhp1Z-YA7DlW1YK_Exd_ORNshuj3zsMu5ZiIEk5NJWiUHL6MOw_Wvj0vpVqnDc17aTj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com/v3/__https:/t.e2ma.net/click/nb1kbd/j83xrcb/n3mcxj__;!!J30X0ZrnC1oQtbA!aM3Zhp1Z-YA7DlW1YK_Exd_ORNshuj3zsMu5ZiIEk5NJWiUHL6MOw_Wvj0vpVqnDc8XjYhEE$" TargetMode="External"/><Relationship Id="rId5" Type="http://schemas.openxmlformats.org/officeDocument/2006/relationships/hyperlink" Target="mailto:Jerrel.Harvey@nj.gov"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Mullin</dc:creator>
  <cp:keywords/>
  <dc:description/>
  <cp:lastModifiedBy>Nina Mullin</cp:lastModifiedBy>
  <cp:revision>1</cp:revision>
  <dcterms:created xsi:type="dcterms:W3CDTF">2020-06-10T20:12:00Z</dcterms:created>
  <dcterms:modified xsi:type="dcterms:W3CDTF">2020-06-10T20:13:00Z</dcterms:modified>
</cp:coreProperties>
</file>